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b/>
          <w:sz w:val="24"/>
          <w:szCs w:val="28"/>
        </w:rPr>
      </w:pPr>
      <w:r>
        <w:rPr>
          <w:rFonts w:hint="eastAsia" w:ascii="Times New Roman" w:hAnsi="Times New Roman"/>
          <w:b/>
          <w:sz w:val="24"/>
          <w:szCs w:val="28"/>
        </w:rPr>
        <w:t>优秀论文</w:t>
      </w:r>
      <w:r>
        <w:rPr>
          <w:rFonts w:ascii="Times New Roman" w:hAnsi="Times New Roman"/>
          <w:b/>
          <w:sz w:val="24"/>
          <w:szCs w:val="28"/>
        </w:rPr>
        <w:t>获奖名单（按</w:t>
      </w:r>
      <w:r>
        <w:rPr>
          <w:rFonts w:hint="eastAsia" w:ascii="Times New Roman" w:hAnsi="Times New Roman"/>
          <w:b/>
          <w:sz w:val="24"/>
          <w:szCs w:val="28"/>
        </w:rPr>
        <w:t>姓</w:t>
      </w:r>
      <w:r>
        <w:rPr>
          <w:rFonts w:ascii="Times New Roman" w:hAnsi="Times New Roman"/>
          <w:b/>
          <w:sz w:val="24"/>
          <w:szCs w:val="28"/>
        </w:rPr>
        <w:t>氏首拼排序）</w:t>
      </w:r>
    </w:p>
    <w:tbl>
      <w:tblPr>
        <w:tblStyle w:val="4"/>
        <w:tblW w:w="8789" w:type="dxa"/>
        <w:tblInd w:w="-269" w:type="dxa"/>
        <w:tblLayout w:type="fixed"/>
        <w:tblCellMar>
          <w:top w:w="0" w:type="dxa"/>
          <w:left w:w="0" w:type="dxa"/>
          <w:bottom w:w="0" w:type="dxa"/>
          <w:right w:w="0" w:type="dxa"/>
        </w:tblCellMar>
      </w:tblPr>
      <w:tblGrid>
        <w:gridCol w:w="1054"/>
        <w:gridCol w:w="5858"/>
        <w:gridCol w:w="1877"/>
      </w:tblGrid>
      <w:tr>
        <w:tblPrEx>
          <w:tblCellMar>
            <w:top w:w="0" w:type="dxa"/>
            <w:left w:w="0" w:type="dxa"/>
            <w:bottom w:w="0" w:type="dxa"/>
            <w:right w:w="0" w:type="dxa"/>
          </w:tblCellMar>
        </w:tblPrEx>
        <w:trPr>
          <w:trHeight w:val="454" w:hRule="atLeast"/>
        </w:trPr>
        <w:tc>
          <w:tcPr>
            <w:tcW w:w="8789" w:type="dxa"/>
            <w:gridSpan w:val="3"/>
            <w:tcBorders>
              <w:top w:val="single" w:color="000000" w:sz="4" w:space="0"/>
              <w:left w:val="single" w:color="000000" w:sz="4" w:space="0"/>
              <w:bottom w:val="single" w:color="000000" w:sz="4" w:space="0"/>
              <w:right w:val="single" w:color="000000" w:sz="4" w:space="0"/>
            </w:tcBorders>
            <w:shd w:val="clear" w:color="auto" w:fill="9BD7A2" w:themeFill="background1" w:themeFillShade="D9"/>
            <w:tcMar>
              <w:top w:w="15" w:type="dxa"/>
              <w:left w:w="15" w:type="dxa"/>
              <w:right w:w="15" w:type="dxa"/>
            </w:tcMar>
            <w:vAlign w:val="center"/>
          </w:tcPr>
          <w:p>
            <w:pPr>
              <w:widowControl/>
              <w:jc w:val="center"/>
              <w:textAlignment w:val="bottom"/>
              <w:rPr>
                <w:rFonts w:ascii="Times New Roman" w:hAnsi="Times New Roman" w:eastAsiaTheme="minorEastAsia"/>
                <w:b/>
                <w:color w:val="000000"/>
                <w:kern w:val="0"/>
                <w:szCs w:val="21"/>
                <w:lang w:bidi="ar"/>
              </w:rPr>
            </w:pPr>
            <w:r>
              <w:rPr>
                <w:rFonts w:ascii="Times New Roman" w:hAnsi="Times New Roman" w:eastAsiaTheme="minorEastAsia"/>
                <w:b/>
                <w:color w:val="000000"/>
                <w:kern w:val="0"/>
                <w:szCs w:val="21"/>
                <w:lang w:bidi="ar"/>
              </w:rPr>
              <w:t>一等奖（共</w:t>
            </w:r>
            <w:r>
              <w:rPr>
                <w:rFonts w:hint="eastAsia" w:ascii="Times New Roman" w:hAnsi="Times New Roman" w:eastAsiaTheme="minorEastAsia"/>
                <w:b/>
                <w:color w:val="000000"/>
                <w:kern w:val="0"/>
                <w:szCs w:val="21"/>
                <w:lang w:val="en-US" w:eastAsia="zh-CN" w:bidi="ar"/>
              </w:rPr>
              <w:t>7</w:t>
            </w:r>
            <w:r>
              <w:rPr>
                <w:rFonts w:ascii="Times New Roman" w:hAnsi="Times New Roman" w:eastAsiaTheme="minorEastAsia"/>
                <w:b/>
                <w:color w:val="000000"/>
                <w:kern w:val="0"/>
                <w:szCs w:val="21"/>
                <w:lang w:bidi="ar"/>
              </w:rPr>
              <w:t>名）</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安梓铭</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Danggui-Shaoyao-San ameliorates non-alcoholic steatohepatitis by inhibiting App/CTSB/NF- ĸB related inflammation</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程培培</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LuQi Formula（</w:t>
            </w:r>
            <w:r>
              <w:rPr>
                <w:rStyle w:val="14"/>
                <w:rFonts w:hint="default" w:ascii="Times New Roman" w:hAnsi="Times New Roman" w:eastAsia="宋体" w:cs="Times New Roman"/>
                <w:sz w:val="24"/>
                <w:szCs w:val="24"/>
                <w:lang w:val="en-US" w:eastAsia="zh-CN" w:bidi="ar"/>
              </w:rPr>
              <w:t>LQF</w:t>
            </w:r>
            <w:r>
              <w:rPr>
                <w:rFonts w:hint="default" w:ascii="Times New Roman" w:hAnsi="Times New Roman" w:eastAsia="宋体" w:cs="Times New Roman"/>
                <w:i w:val="0"/>
                <w:iCs w:val="0"/>
                <w:color w:val="000000"/>
                <w:kern w:val="0"/>
                <w:sz w:val="24"/>
                <w:szCs w:val="24"/>
                <w:u w:val="none"/>
                <w:lang w:val="en-US" w:eastAsia="zh-CN" w:bidi="ar"/>
              </w:rPr>
              <w:t>）</w:t>
            </w:r>
            <w:r>
              <w:rPr>
                <w:rStyle w:val="14"/>
                <w:rFonts w:hint="default" w:ascii="Times New Roman" w:hAnsi="Times New Roman" w:eastAsia="宋体" w:cs="Times New Roman"/>
                <w:sz w:val="24"/>
                <w:szCs w:val="24"/>
                <w:lang w:val="en-US" w:eastAsia="zh-CN" w:bidi="ar"/>
              </w:rPr>
              <w:t xml:space="preserve"> attenuates Cardiomyocyte ferroptosis via restoring the Nrf2-mediated signaling axis in heart failure</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甘  地</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含富碘中药复方治疗</w:t>
            </w:r>
            <w:r>
              <w:rPr>
                <w:rStyle w:val="14"/>
                <w:rFonts w:hint="eastAsia" w:ascii="宋体" w:hAnsi="宋体" w:eastAsia="宋体" w:cs="宋体"/>
                <w:sz w:val="24"/>
                <w:szCs w:val="24"/>
                <w:lang w:val="en-US" w:eastAsia="zh-CN" w:bidi="ar"/>
              </w:rPr>
              <w:t>Graves</w:t>
            </w:r>
            <w:r>
              <w:rPr>
                <w:rFonts w:hint="eastAsia" w:ascii="宋体" w:hAnsi="宋体" w:eastAsia="宋体" w:cs="宋体"/>
                <w:i w:val="0"/>
                <w:iCs w:val="0"/>
                <w:color w:val="000000"/>
                <w:kern w:val="0"/>
                <w:sz w:val="24"/>
                <w:szCs w:val="24"/>
                <w:u w:val="none"/>
                <w:lang w:val="en-US" w:eastAsia="zh-CN" w:bidi="ar"/>
              </w:rPr>
              <w:t>病的临床疗效与安全性评价：一项多中心、随机、双盲、安慰剂对照临床试验</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辽宁中医药大学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彭宇芹</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Style w:val="15"/>
                <w:rFonts w:hint="eastAsia" w:ascii="宋体" w:hAnsi="宋体" w:eastAsia="宋体" w:cs="宋体"/>
                <w:sz w:val="24"/>
                <w:szCs w:val="24"/>
                <w:lang w:val="en-US" w:eastAsia="zh-CN" w:bidi="ar"/>
              </w:rPr>
              <w:t>羟基红花黄色素A激活HIF-1</w:t>
            </w:r>
            <w:r>
              <w:rPr>
                <w:rStyle w:val="16"/>
                <w:rFonts w:hint="eastAsia" w:ascii="宋体" w:hAnsi="宋体" w:eastAsia="宋体" w:cs="宋体"/>
                <w:sz w:val="24"/>
                <w:szCs w:val="24"/>
                <w:lang w:val="en-US" w:eastAsia="zh-CN" w:bidi="ar"/>
              </w:rPr>
              <w:t>α</w:t>
            </w:r>
            <w:r>
              <w:rPr>
                <w:rStyle w:val="15"/>
                <w:rFonts w:hint="eastAsia" w:ascii="宋体" w:hAnsi="宋体" w:eastAsia="宋体" w:cs="宋体"/>
                <w:sz w:val="24"/>
                <w:szCs w:val="24"/>
                <w:lang w:val="en-US" w:eastAsia="zh-CN" w:bidi="ar"/>
              </w:rPr>
              <w:t>/SLC7A11/GPX4信号通路抑制铁死亡减轻小鼠急性心肌缺血再灌注损伤</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安徽中医药大学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濮姗姗</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Sneezes Indicate Someone is Thinking of You: the Origin and Development of Sneezing Therapy in Chinese Medicine</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余  宋</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Style w:val="14"/>
                <w:rFonts w:hint="eastAsia" w:ascii="宋体" w:hAnsi="宋体" w:eastAsia="宋体" w:cs="宋体"/>
                <w:sz w:val="24"/>
                <w:szCs w:val="24"/>
                <w:lang w:val="en-US" w:eastAsia="zh-CN" w:bidi="ar"/>
              </w:rPr>
              <w:t>338</w:t>
            </w:r>
            <w:r>
              <w:rPr>
                <w:rFonts w:hint="eastAsia" w:ascii="宋体" w:hAnsi="宋体" w:eastAsia="宋体" w:cs="宋体"/>
                <w:i w:val="0"/>
                <w:iCs w:val="0"/>
                <w:color w:val="000000"/>
                <w:kern w:val="0"/>
                <w:sz w:val="24"/>
                <w:szCs w:val="24"/>
                <w:u w:val="none"/>
                <w:lang w:val="en-US" w:eastAsia="zh-CN" w:bidi="ar"/>
              </w:rPr>
              <w:t>例肝内胆管癌患者病证分布及相关性研究</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海军军医大学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朱皞翔</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三伏天穴位敷贴治疗儿童哮喘的真实世界研究</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454" w:hRule="atLeast"/>
        </w:trPr>
        <w:tc>
          <w:tcPr>
            <w:tcW w:w="8789" w:type="dxa"/>
            <w:gridSpan w:val="3"/>
            <w:tcBorders>
              <w:top w:val="single" w:color="000000" w:sz="4" w:space="0"/>
              <w:left w:val="single" w:color="000000" w:sz="4" w:space="0"/>
              <w:bottom w:val="single" w:color="000000" w:sz="4" w:space="0"/>
              <w:right w:val="single" w:color="000000" w:sz="4" w:space="0"/>
            </w:tcBorders>
            <w:shd w:val="clear" w:color="auto" w:fill="9BD7A2" w:themeFill="background1" w:themeFillShade="D9"/>
            <w:tcMar>
              <w:top w:w="15" w:type="dxa"/>
              <w:left w:w="15" w:type="dxa"/>
              <w:right w:w="15" w:type="dxa"/>
            </w:tcMar>
            <w:vAlign w:val="center"/>
          </w:tcPr>
          <w:p>
            <w:pPr>
              <w:widowControl/>
              <w:jc w:val="center"/>
              <w:textAlignment w:val="bottom"/>
              <w:rPr>
                <w:rFonts w:ascii="Times New Roman" w:hAnsi="Times New Roman" w:eastAsiaTheme="minorEastAsia"/>
                <w:b/>
                <w:color w:val="000000"/>
                <w:kern w:val="0"/>
                <w:szCs w:val="21"/>
                <w:lang w:bidi="ar"/>
              </w:rPr>
            </w:pPr>
            <w:r>
              <w:rPr>
                <w:rFonts w:ascii="Times New Roman" w:hAnsi="Times New Roman" w:eastAsiaTheme="minorEastAsia"/>
                <w:b/>
                <w:color w:val="000000"/>
                <w:kern w:val="0"/>
                <w:szCs w:val="21"/>
                <w:lang w:bidi="ar"/>
              </w:rPr>
              <w:t>二等奖（共1</w:t>
            </w:r>
            <w:r>
              <w:rPr>
                <w:rFonts w:hint="eastAsia" w:ascii="Times New Roman" w:hAnsi="Times New Roman" w:eastAsiaTheme="minorEastAsia"/>
                <w:b/>
                <w:color w:val="000000"/>
                <w:kern w:val="0"/>
                <w:szCs w:val="21"/>
                <w:lang w:bidi="ar"/>
              </w:rPr>
              <w:t>0</w:t>
            </w:r>
            <w:r>
              <w:rPr>
                <w:rFonts w:ascii="Times New Roman" w:hAnsi="Times New Roman" w:eastAsiaTheme="minorEastAsia"/>
                <w:b/>
                <w:color w:val="000000"/>
                <w:kern w:val="0"/>
                <w:szCs w:val="21"/>
                <w:lang w:bidi="ar"/>
              </w:rPr>
              <w:t>名）</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蔡泳源</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基于“心阴阳体用”理论探讨肥厚型心肌病的证机和治疗</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山西省中医药研究院</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丁  杰</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姜黄素调控氧化应激抑制焦亡改善炎症微环境治疗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子宫内膜异位症</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海军军医大学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李宏涛</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生物实验结合虚拟筛选探索临床有效中药复方中抑制</w:t>
            </w:r>
            <w:r>
              <w:rPr>
                <w:rFonts w:hint="default" w:ascii="Times New Roman" w:hAnsi="Times New Roman" w:eastAsia="宋体" w:cs="Times New Roman"/>
                <w:i w:val="0"/>
                <w:iCs w:val="0"/>
                <w:color w:val="000000"/>
                <w:kern w:val="0"/>
                <w:sz w:val="24"/>
                <w:szCs w:val="24"/>
                <w:u w:val="none"/>
                <w:lang w:val="en-US" w:eastAsia="zh-CN" w:bidi="ar"/>
              </w:rPr>
              <w:t>SARS-CoV-2 3CL</w:t>
            </w:r>
            <w:r>
              <w:rPr>
                <w:rFonts w:hint="default" w:ascii="Times New Roman" w:hAnsi="Times New Roman" w:eastAsia="宋体" w:cs="Times New Roman"/>
                <w:i w:val="0"/>
                <w:iCs w:val="0"/>
                <w:color w:val="000000"/>
                <w:kern w:val="0"/>
                <w:sz w:val="24"/>
                <w:szCs w:val="24"/>
                <w:u w:val="none"/>
                <w:vertAlign w:val="superscript"/>
                <w:lang w:val="en-US" w:eastAsia="zh-CN" w:bidi="ar"/>
              </w:rPr>
              <w:t>pro</w:t>
            </w:r>
            <w:r>
              <w:rPr>
                <w:rFonts w:hint="eastAsia" w:ascii="宋体" w:hAnsi="宋体" w:eastAsia="宋体" w:cs="宋体"/>
                <w:i w:val="0"/>
                <w:iCs w:val="0"/>
                <w:color w:val="000000"/>
                <w:kern w:val="0"/>
                <w:sz w:val="24"/>
                <w:szCs w:val="24"/>
                <w:u w:val="none"/>
                <w:lang w:val="en-US" w:eastAsia="zh-CN" w:bidi="ar"/>
              </w:rPr>
              <w:t>活性成分</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李雨佳</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Extracellular ATP Mobilization at Acupuncture Point Co-mediated by Skin Piezo1 Channels and Nucleotidases CD39/CD73 Contributed to Acupuncture Analgesia on Arthritis Rats</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秦  川</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宋体"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GABAergic neurons in nucleus accumbens mediate the rewarding effect of wrist-ankle acupuncture analgesia</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曲笑啸</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消渴方治疗难治性2型糖尿病的多中心、随机、双盲、安慰剂对照研究</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尧明慧</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基于混合深度学习机制下脉搏MFCC特征的原发性高血压心血管危险分层识别模型</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周鹏飞</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海派名老中医陆金根教授基于益气养阴辨治便秘</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朱广灏</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Highly efficient discovery of the covalent Mpro inhibitors from crude Pu-erh tea by integrating biochemical and chemoproteomic approaches</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Theme="minorEastAsia"/>
                <w:color w:val="000000"/>
                <w:szCs w:val="21"/>
              </w:rPr>
            </w:pPr>
            <w:r>
              <w:rPr>
                <w:rFonts w:hint="eastAsia" w:ascii="宋体" w:hAnsi="宋体" w:eastAsia="宋体" w:cs="宋体"/>
                <w:i w:val="0"/>
                <w:iCs w:val="0"/>
                <w:color w:val="000000"/>
                <w:kern w:val="0"/>
                <w:sz w:val="24"/>
                <w:szCs w:val="24"/>
                <w:u w:val="none"/>
                <w:lang w:val="en-US" w:eastAsia="zh-CN" w:bidi="ar"/>
              </w:rPr>
              <w:t>邹怡萌</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ascii="Times New Roman" w:hAnsi="Times New Roman" w:eastAsiaTheme="minorEastAsia"/>
                <w:color w:val="000000"/>
                <w:szCs w:val="21"/>
              </w:rPr>
            </w:pPr>
            <w:r>
              <w:rPr>
                <w:rFonts w:hint="eastAsia" w:ascii="宋体" w:hAnsi="宋体" w:eastAsia="宋体" w:cs="宋体"/>
                <w:i w:val="0"/>
                <w:iCs w:val="0"/>
                <w:color w:val="000000"/>
                <w:kern w:val="0"/>
                <w:sz w:val="24"/>
                <w:szCs w:val="24"/>
                <w:u w:val="none"/>
                <w:lang w:val="en-US" w:eastAsia="zh-CN" w:bidi="ar"/>
              </w:rPr>
              <w:t>基于</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肺主皮毛</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理论的中西联系与差异思考</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Theme="minorEastAsia"/>
                <w:color w:val="000000"/>
                <w:szCs w:val="21"/>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454" w:hRule="atLeast"/>
        </w:trPr>
        <w:tc>
          <w:tcPr>
            <w:tcW w:w="8789" w:type="dxa"/>
            <w:gridSpan w:val="3"/>
            <w:tcBorders>
              <w:top w:val="single" w:color="000000" w:sz="4" w:space="0"/>
              <w:left w:val="single" w:color="000000" w:sz="4" w:space="0"/>
              <w:bottom w:val="single" w:color="000000" w:sz="4" w:space="0"/>
              <w:right w:val="single" w:color="000000" w:sz="4" w:space="0"/>
            </w:tcBorders>
            <w:shd w:val="clear" w:color="auto" w:fill="9BD7A2" w:themeFill="background1" w:themeFillShade="D9"/>
            <w:tcMar>
              <w:top w:w="15" w:type="dxa"/>
              <w:left w:w="15" w:type="dxa"/>
              <w:right w:w="15" w:type="dxa"/>
            </w:tcMar>
            <w:vAlign w:val="center"/>
          </w:tcPr>
          <w:p>
            <w:pPr>
              <w:widowControl/>
              <w:jc w:val="center"/>
              <w:textAlignment w:val="bottom"/>
              <w:rPr>
                <w:rFonts w:ascii="Times New Roman" w:hAnsi="Times New Roman" w:eastAsiaTheme="minorEastAsia"/>
                <w:b/>
                <w:color w:val="000000"/>
                <w:kern w:val="0"/>
                <w:szCs w:val="21"/>
                <w:lang w:bidi="ar"/>
              </w:rPr>
            </w:pPr>
            <w:r>
              <w:rPr>
                <w:rFonts w:ascii="Times New Roman" w:hAnsi="Times New Roman" w:eastAsiaTheme="minorEastAsia"/>
                <w:b/>
                <w:color w:val="000000"/>
                <w:kern w:val="0"/>
                <w:szCs w:val="21"/>
                <w:lang w:bidi="ar"/>
              </w:rPr>
              <w:t>三等奖（共1</w:t>
            </w:r>
            <w:r>
              <w:rPr>
                <w:rFonts w:hint="eastAsia" w:ascii="Times New Roman" w:hAnsi="Times New Roman" w:eastAsiaTheme="minorEastAsia"/>
                <w:b/>
                <w:color w:val="000000"/>
                <w:kern w:val="0"/>
                <w:szCs w:val="21"/>
                <w:lang w:val="en-US" w:eastAsia="zh-CN" w:bidi="ar"/>
              </w:rPr>
              <w:t>5</w:t>
            </w:r>
            <w:r>
              <w:rPr>
                <w:rFonts w:ascii="Times New Roman" w:hAnsi="Times New Roman" w:eastAsiaTheme="minorEastAsia"/>
                <w:b/>
                <w:color w:val="000000"/>
                <w:kern w:val="0"/>
                <w:szCs w:val="21"/>
                <w:lang w:bidi="ar"/>
              </w:rPr>
              <w:t>名）</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陈泓谕</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人工智能助力中医药传承与发展</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何友成</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基于“随其所得而攻之”探讨脾胃湿热证防治内涵及临床实践</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何云云</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基于“肺胃相关”理论探讨反流性咳嗽的中医内涵</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姜  平</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基于多中心真实世界数据研究中西医结合治疗类风湿关节炎的用药规律及忍冬藤-伸筋草药对的分子作用机制</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蒯  仂</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Formononetin attenuates psoriasiform inflammation by regulating interferon signaling pathway</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刘  洋</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应用机器学习和神经网络模型识别结直肠癌</w:t>
            </w:r>
            <w:r>
              <w:rPr>
                <w:rStyle w:val="17"/>
                <w:rFonts w:hint="eastAsia" w:ascii="宋体" w:hAnsi="宋体" w:eastAsia="宋体" w:cs="宋体"/>
                <w:sz w:val="24"/>
                <w:szCs w:val="24"/>
                <w:lang w:val="en-US" w:eastAsia="zh-CN" w:bidi="ar"/>
              </w:rPr>
              <w:t>“</w:t>
            </w:r>
            <w:r>
              <w:rPr>
                <w:rFonts w:hint="eastAsia" w:ascii="宋体" w:hAnsi="宋体" w:eastAsia="宋体" w:cs="宋体"/>
                <w:i w:val="0"/>
                <w:iCs w:val="0"/>
                <w:color w:val="000000"/>
                <w:kern w:val="0"/>
                <w:sz w:val="24"/>
                <w:szCs w:val="24"/>
                <w:u w:val="none"/>
                <w:lang w:val="en-US" w:eastAsia="zh-CN" w:bidi="ar"/>
              </w:rPr>
              <w:t>炎癌转化</w:t>
            </w:r>
            <w:r>
              <w:rPr>
                <w:rStyle w:val="17"/>
                <w:rFonts w:hint="eastAsia" w:ascii="宋体" w:hAnsi="宋体" w:eastAsia="宋体" w:cs="宋体"/>
                <w:sz w:val="24"/>
                <w:szCs w:val="24"/>
                <w:lang w:val="en-US" w:eastAsia="zh-CN" w:bidi="ar"/>
              </w:rPr>
              <w:t>”</w:t>
            </w:r>
            <w:r>
              <w:rPr>
                <w:rFonts w:hint="eastAsia" w:ascii="宋体" w:hAnsi="宋体" w:eastAsia="宋体" w:cs="宋体"/>
                <w:i w:val="0"/>
                <w:iCs w:val="0"/>
                <w:color w:val="000000"/>
                <w:kern w:val="0"/>
                <w:sz w:val="24"/>
                <w:szCs w:val="24"/>
                <w:u w:val="none"/>
                <w:lang w:val="en-US" w:eastAsia="zh-CN" w:bidi="ar"/>
              </w:rPr>
              <w:t>过程的关键基因及相关中药预测</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罗  成</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基于“壮火食气”探讨炎症对肺癌的影响</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湖北中医药大学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马宇慧</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复方鱼桔颗粒通过抑制BMDM巨噬细胞中NLRP3炎症小体的激活发挥抗炎效果的作用机制研究</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南思楠</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丹参黄芩药对配伍在心血管类疾病治疗的潜在发展</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任雪骐</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pacing w:val="-8"/>
                <w:sz w:val="24"/>
                <w:szCs w:val="24"/>
              </w:rPr>
            </w:pPr>
            <w:r>
              <w:rPr>
                <w:rFonts w:hint="eastAsia" w:ascii="宋体" w:hAnsi="宋体" w:eastAsia="宋体" w:cs="宋体"/>
                <w:i w:val="0"/>
                <w:iCs w:val="0"/>
                <w:color w:val="000000"/>
                <w:kern w:val="0"/>
                <w:sz w:val="24"/>
                <w:szCs w:val="24"/>
                <w:u w:val="none"/>
                <w:lang w:val="en-US" w:eastAsia="zh-CN" w:bidi="ar"/>
              </w:rPr>
              <w:t>中西医脾差异看中西医脏腑翻译错位</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史中昊</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中西医联合治疗狼疮足细胞病1则并文献复习</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680"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王  珏</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上肢脉搏波传导速度与脉图参数的关联性研究</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袁晨越</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结直肠癌术后患者舌脉象特征参数与中医证型分布研究</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张梦雪</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基于文献分析探讨阿尔茨海默病不同阶段的中医证候分布规律</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kern w:val="0"/>
                <w:sz w:val="24"/>
                <w:szCs w:val="24"/>
                <w:lang w:bidi="ar"/>
              </w:rPr>
            </w:pPr>
            <w:r>
              <w:rPr>
                <w:rFonts w:hint="eastAsia" w:ascii="宋体" w:hAnsi="宋体" w:eastAsia="宋体" w:cs="宋体"/>
                <w:i w:val="0"/>
                <w:iCs w:val="0"/>
                <w:color w:val="000000"/>
                <w:kern w:val="0"/>
                <w:sz w:val="24"/>
                <w:szCs w:val="24"/>
                <w:u w:val="none"/>
                <w:lang w:val="en-US" w:eastAsia="zh-CN" w:bidi="ar"/>
              </w:rPr>
              <w:t>上海中医药大学</w:t>
            </w:r>
          </w:p>
        </w:tc>
      </w:tr>
      <w:tr>
        <w:tblPrEx>
          <w:tblCellMar>
            <w:top w:w="0" w:type="dxa"/>
            <w:left w:w="0" w:type="dxa"/>
            <w:bottom w:w="0" w:type="dxa"/>
            <w:right w:w="0" w:type="dxa"/>
          </w:tblCellMar>
        </w:tblPrEx>
        <w:trPr>
          <w:trHeight w:val="397" w:hRule="atLeast"/>
        </w:trPr>
        <w:tc>
          <w:tcPr>
            <w:tcW w:w="105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朱博玉</w:t>
            </w:r>
          </w:p>
        </w:tc>
        <w:tc>
          <w:tcPr>
            <w:tcW w:w="5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Progress in pharmacological mechanism of traditional Chinese medicine in Systemic Lupus Erythematosus</w:t>
            </w:r>
          </w:p>
        </w:tc>
        <w:tc>
          <w:tcPr>
            <w:tcW w:w="1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000000"/>
                <w:sz w:val="24"/>
                <w:szCs w:val="24"/>
              </w:rPr>
            </w:pPr>
            <w:r>
              <w:rPr>
                <w:rFonts w:hint="eastAsia" w:ascii="宋体" w:hAnsi="宋体" w:eastAsia="宋体" w:cs="宋体"/>
                <w:i w:val="0"/>
                <w:iCs w:val="0"/>
                <w:color w:val="000000"/>
                <w:kern w:val="0"/>
                <w:sz w:val="24"/>
                <w:szCs w:val="24"/>
                <w:u w:val="none"/>
                <w:lang w:val="en-US" w:eastAsia="zh-CN" w:bidi="ar"/>
              </w:rPr>
              <w:t>上海中医药大学</w:t>
            </w:r>
          </w:p>
        </w:tc>
      </w:tr>
    </w:tbl>
    <w:p>
      <w:pPr>
        <w:spacing w:line="360" w:lineRule="auto"/>
        <w:ind w:firstLine="480" w:firstLineChars="200"/>
        <w:jc w:val="right"/>
        <w:rPr>
          <w:rFonts w:ascii="Times New Roman" w:hAnsi="Times New Roman"/>
          <w:sz w:val="24"/>
          <w:szCs w:val="28"/>
        </w:rPr>
      </w:pPr>
      <w:r>
        <w:rPr>
          <w:rFonts w:hint="eastAsia" w:ascii="Times New Roman" w:hAnsi="Times New Roman"/>
          <w:sz w:val="24"/>
          <w:szCs w:val="28"/>
        </w:rPr>
        <w:t xml:space="preserve">                                 </w:t>
      </w:r>
      <w:bookmarkStart w:id="0" w:name="_GoBack"/>
      <w:bookmarkEnd w:id="0"/>
    </w:p>
    <w:sectPr>
      <w:pgSz w:w="11906" w:h="16838"/>
      <w:pgMar w:top="1213" w:right="1800" w:bottom="1157"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xOGE5NTFhOTI3ZTgxN2VhYWZiNDc0YTlmM2ZiNTgifQ=="/>
  </w:docVars>
  <w:rsids>
    <w:rsidRoot w:val="004A5F99"/>
    <w:rsid w:val="00434A4B"/>
    <w:rsid w:val="004A5F99"/>
    <w:rsid w:val="0CED3029"/>
    <w:rsid w:val="0DEF6313"/>
    <w:rsid w:val="4FBE6FE7"/>
    <w:rsid w:val="5CC26883"/>
    <w:rsid w:val="62650996"/>
    <w:rsid w:val="6D8C4603"/>
    <w:rsid w:val="6F436DAF"/>
    <w:rsid w:val="78E5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qFormat/>
    <w:uiPriority w:val="22"/>
    <w:rPr>
      <w:b/>
      <w:bCs/>
    </w:rPr>
  </w:style>
  <w:style w:type="character" w:customStyle="1" w:styleId="8">
    <w:name w:val="页眉 字符"/>
    <w:basedOn w:val="6"/>
    <w:link w:val="3"/>
    <w:qFormat/>
    <w:uiPriority w:val="0"/>
    <w:rPr>
      <w:rFonts w:ascii="Calibri" w:hAnsi="Calibri" w:eastAsia="宋体" w:cs="Times New Roman"/>
      <w:kern w:val="2"/>
      <w:sz w:val="18"/>
      <w:szCs w:val="18"/>
    </w:rPr>
  </w:style>
  <w:style w:type="character" w:customStyle="1" w:styleId="9">
    <w:name w:val="页脚 字符"/>
    <w:basedOn w:val="6"/>
    <w:link w:val="2"/>
    <w:qFormat/>
    <w:uiPriority w:val="0"/>
    <w:rPr>
      <w:rFonts w:ascii="Calibri" w:hAnsi="Calibri" w:eastAsia="宋体" w:cs="Times New Roman"/>
      <w:kern w:val="2"/>
      <w:sz w:val="18"/>
      <w:szCs w:val="18"/>
    </w:rPr>
  </w:style>
  <w:style w:type="character" w:customStyle="1" w:styleId="10">
    <w:name w:val="font31"/>
    <w:basedOn w:val="6"/>
    <w:uiPriority w:val="0"/>
    <w:rPr>
      <w:rFonts w:hint="default" w:ascii="Times New Roman" w:hAnsi="Times New Roman" w:cs="Times New Roman"/>
      <w:color w:val="000000"/>
      <w:sz w:val="22"/>
      <w:szCs w:val="22"/>
      <w:u w:val="none"/>
    </w:rPr>
  </w:style>
  <w:style w:type="character" w:customStyle="1" w:styleId="11">
    <w:name w:val="font01"/>
    <w:basedOn w:val="6"/>
    <w:qFormat/>
    <w:uiPriority w:val="0"/>
    <w:rPr>
      <w:rFonts w:hint="eastAsia" w:ascii="宋体" w:hAnsi="宋体" w:eastAsia="宋体" w:cs="宋体"/>
      <w:color w:val="000000"/>
      <w:sz w:val="22"/>
      <w:szCs w:val="22"/>
      <w:u w:val="none"/>
    </w:rPr>
  </w:style>
  <w:style w:type="character" w:customStyle="1" w:styleId="12">
    <w:name w:val="font41"/>
    <w:basedOn w:val="6"/>
    <w:qFormat/>
    <w:uiPriority w:val="0"/>
    <w:rPr>
      <w:rFonts w:hint="default" w:ascii="Times New Roman" w:hAnsi="Times New Roman" w:cs="Times New Roman"/>
      <w:color w:val="000000"/>
      <w:sz w:val="22"/>
      <w:szCs w:val="22"/>
      <w:u w:val="none"/>
    </w:rPr>
  </w:style>
  <w:style w:type="character" w:customStyle="1" w:styleId="13">
    <w:name w:val="font21"/>
    <w:basedOn w:val="6"/>
    <w:uiPriority w:val="0"/>
    <w:rPr>
      <w:rFonts w:hint="eastAsia" w:ascii="宋体" w:hAnsi="宋体" w:eastAsia="宋体" w:cs="宋体"/>
      <w:color w:val="000000"/>
      <w:sz w:val="22"/>
      <w:szCs w:val="22"/>
      <w:u w:val="none"/>
    </w:rPr>
  </w:style>
  <w:style w:type="character" w:customStyle="1" w:styleId="14">
    <w:name w:val="font51"/>
    <w:basedOn w:val="6"/>
    <w:qFormat/>
    <w:uiPriority w:val="0"/>
    <w:rPr>
      <w:rFonts w:hint="default" w:ascii="Times New Roman" w:hAnsi="Times New Roman" w:cs="Times New Roman"/>
      <w:color w:val="000000"/>
      <w:sz w:val="24"/>
      <w:szCs w:val="24"/>
      <w:u w:val="none"/>
    </w:rPr>
  </w:style>
  <w:style w:type="character" w:customStyle="1" w:styleId="15">
    <w:name w:val="font61"/>
    <w:basedOn w:val="6"/>
    <w:qFormat/>
    <w:uiPriority w:val="0"/>
    <w:rPr>
      <w:rFonts w:hint="eastAsia" w:ascii="宋体" w:hAnsi="宋体" w:eastAsia="宋体" w:cs="宋体"/>
      <w:color w:val="000000"/>
      <w:sz w:val="24"/>
      <w:szCs w:val="24"/>
      <w:u w:val="none"/>
    </w:rPr>
  </w:style>
  <w:style w:type="character" w:customStyle="1" w:styleId="16">
    <w:name w:val="font71"/>
    <w:basedOn w:val="6"/>
    <w:qFormat/>
    <w:uiPriority w:val="0"/>
    <w:rPr>
      <w:rFonts w:ascii="Calibri" w:hAnsi="Calibri" w:cs="Calibri"/>
      <w:color w:val="000000"/>
      <w:sz w:val="24"/>
      <w:szCs w:val="24"/>
      <w:u w:val="none"/>
    </w:rPr>
  </w:style>
  <w:style w:type="character" w:customStyle="1" w:styleId="17">
    <w:name w:val="font81"/>
    <w:basedOn w:val="6"/>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复旦大学</Company>
  <Pages>2</Pages>
  <Words>1359</Words>
  <Characters>2082</Characters>
  <Lines>16</Lines>
  <Paragraphs>4</Paragraphs>
  <TotalTime>18</TotalTime>
  <ScaleCrop>false</ScaleCrop>
  <LinksUpToDate>false</LinksUpToDate>
  <CharactersWithSpaces>2249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2017-10-07T20:01:00Z</dcterms:created>
  <dc:creator>Administrator</dc:creator>
  <cp:lastModifiedBy>甜根</cp:lastModifiedBy>
  <cp:lastPrinted>2023-10-13T02:47:00Z</cp:lastPrinted>
  <dcterms:modified xsi:type="dcterms:W3CDTF">2023-10-13T03:30:43Z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18DFC6DE1EAC4DB694D879ADDC5CB418</vt:lpwstr>
  </property>
</Properties>
</file>